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FCB5" w14:textId="322FC66B" w:rsidR="00E44AB0" w:rsidRDefault="00F8082C" w:rsidP="00F8082C">
      <w:pPr>
        <w:jc w:val="center"/>
        <w:rPr>
          <w:rFonts w:asciiTheme="majorHAnsi" w:eastAsiaTheme="majorHAnsi" w:hAnsiTheme="majorHAnsi"/>
          <w:sz w:val="36"/>
          <w:szCs w:val="36"/>
        </w:rPr>
      </w:pPr>
      <w:r w:rsidRPr="00F8082C">
        <w:rPr>
          <w:rFonts w:asciiTheme="majorHAnsi" w:eastAsiaTheme="majorHAnsi" w:hAnsiTheme="majorHAnsi"/>
          <w:sz w:val="36"/>
          <w:szCs w:val="36"/>
        </w:rPr>
        <w:t>Guidelines for Processing Shareholder Proposals</w:t>
      </w:r>
    </w:p>
    <w:p w14:paraId="78A739C4" w14:textId="77777777" w:rsidR="00F8082C" w:rsidRDefault="00F8082C" w:rsidP="000F2877">
      <w:pPr>
        <w:ind w:left="1440" w:hangingChars="400" w:hanging="1440"/>
        <w:jc w:val="center"/>
        <w:rPr>
          <w:rFonts w:asciiTheme="majorHAnsi" w:eastAsiaTheme="majorHAnsi" w:hAnsiTheme="majorHAnsi"/>
          <w:sz w:val="36"/>
          <w:szCs w:val="36"/>
        </w:rPr>
      </w:pPr>
    </w:p>
    <w:p w14:paraId="6FE580B8" w14:textId="69C432B6" w:rsidR="00F8082C" w:rsidRPr="00B338EA" w:rsidRDefault="00F8082C" w:rsidP="000F2877">
      <w:pPr>
        <w:ind w:left="550" w:hangingChars="250" w:hanging="550"/>
        <w:rPr>
          <w:rFonts w:asciiTheme="majorHAnsi" w:eastAsiaTheme="majorHAnsi" w:hAnsiTheme="majorHAnsi"/>
          <w:szCs w:val="22"/>
        </w:rPr>
      </w:pPr>
      <w:r w:rsidRPr="00F8082C">
        <w:rPr>
          <w:rFonts w:asciiTheme="majorHAnsi" w:eastAsiaTheme="majorHAnsi" w:hAnsiTheme="majorHAnsi"/>
          <w:b/>
          <w:bCs/>
          <w:szCs w:val="22"/>
        </w:rPr>
        <w:t>Article 1 (Purpose)</w:t>
      </w:r>
      <w:r w:rsidRPr="00F8082C">
        <w:rPr>
          <w:rFonts w:asciiTheme="majorHAnsi" w:eastAsiaTheme="majorHAnsi" w:hAnsiTheme="majorHAnsi"/>
          <w:szCs w:val="22"/>
        </w:rPr>
        <w:br/>
        <w:t>These regulations establish internal standards and procedures for handling agenda items or proposals submitted by shareholders exercising their proposal rights under Article 363-2 of the Commercial Act.</w:t>
      </w:r>
    </w:p>
    <w:p w14:paraId="1F00C364" w14:textId="77777777" w:rsidR="00F8082C" w:rsidRPr="00F8082C" w:rsidRDefault="00F8082C" w:rsidP="00F8082C">
      <w:pPr>
        <w:rPr>
          <w:rFonts w:asciiTheme="majorHAnsi" w:eastAsiaTheme="majorHAnsi" w:hAnsiTheme="majorHAnsi"/>
          <w:szCs w:val="22"/>
        </w:rPr>
      </w:pPr>
    </w:p>
    <w:p w14:paraId="5287F79F" w14:textId="77777777" w:rsidR="00F8082C" w:rsidRPr="00B338EA" w:rsidRDefault="00F8082C" w:rsidP="000F2877">
      <w:pPr>
        <w:ind w:left="550" w:hangingChars="250" w:hanging="550"/>
        <w:rPr>
          <w:rFonts w:asciiTheme="majorHAnsi" w:eastAsiaTheme="majorHAnsi" w:hAnsiTheme="majorHAnsi"/>
          <w:szCs w:val="22"/>
        </w:rPr>
      </w:pPr>
      <w:r w:rsidRPr="00F8082C">
        <w:rPr>
          <w:rFonts w:asciiTheme="majorHAnsi" w:eastAsiaTheme="majorHAnsi" w:hAnsiTheme="majorHAnsi"/>
          <w:b/>
          <w:bCs/>
          <w:szCs w:val="22"/>
        </w:rPr>
        <w:t>Article 2 (Requirements for Shareholder Proposals)</w:t>
      </w:r>
      <w:r w:rsidRPr="00F8082C">
        <w:rPr>
          <w:rFonts w:asciiTheme="majorHAnsi" w:eastAsiaTheme="majorHAnsi" w:hAnsiTheme="majorHAnsi"/>
          <w:szCs w:val="22"/>
        </w:rPr>
        <w:br/>
        <w:t>① A shareholder proposal must meet the shareholding ratio requirements stipulated in Article 363-2 of the Commercial Act and related laws. It must be submitted in writing or electronically six weeks prior to the general meeting date (for annual meetings, the corresponding date of the previous year’s annual meeting).</w:t>
      </w:r>
      <w:r w:rsidRPr="00F8082C">
        <w:rPr>
          <w:rFonts w:asciiTheme="majorHAnsi" w:eastAsiaTheme="majorHAnsi" w:hAnsiTheme="majorHAnsi"/>
          <w:szCs w:val="22"/>
        </w:rPr>
        <w:br/>
        <w:t>② The shareholder must prove compliance with the shareholding ratio requirement via a Beneficial Shareholder Certificate issued by the Korea Securities Depository (KSD). Post-September 16, 2019 (after the electronic securities system implementation), proof may alternatively be provided through ownership details from an electronic registration institution.</w:t>
      </w:r>
    </w:p>
    <w:p w14:paraId="74880139" w14:textId="77777777" w:rsidR="00F8082C" w:rsidRPr="00F8082C" w:rsidRDefault="00F8082C" w:rsidP="00F8082C">
      <w:pPr>
        <w:rPr>
          <w:rFonts w:asciiTheme="majorHAnsi" w:eastAsiaTheme="majorHAnsi" w:hAnsiTheme="majorHAnsi"/>
          <w:szCs w:val="22"/>
        </w:rPr>
      </w:pPr>
    </w:p>
    <w:p w14:paraId="45337470" w14:textId="77777777" w:rsidR="00F8082C" w:rsidRPr="00F8082C" w:rsidRDefault="00F8082C" w:rsidP="000F2877">
      <w:pPr>
        <w:ind w:left="550" w:hangingChars="250" w:hanging="550"/>
        <w:rPr>
          <w:rFonts w:asciiTheme="majorHAnsi" w:eastAsiaTheme="majorHAnsi" w:hAnsiTheme="majorHAnsi"/>
          <w:szCs w:val="22"/>
        </w:rPr>
      </w:pPr>
      <w:r w:rsidRPr="00F8082C">
        <w:rPr>
          <w:rFonts w:asciiTheme="majorHAnsi" w:eastAsiaTheme="majorHAnsi" w:hAnsiTheme="majorHAnsi"/>
          <w:b/>
          <w:bCs/>
          <w:szCs w:val="22"/>
        </w:rPr>
        <w:t>Article 3 (Board Reporting and Deliberation)</w:t>
      </w:r>
      <w:r w:rsidRPr="00F8082C">
        <w:rPr>
          <w:rFonts w:asciiTheme="majorHAnsi" w:eastAsiaTheme="majorHAnsi" w:hAnsiTheme="majorHAnsi"/>
          <w:szCs w:val="22"/>
        </w:rPr>
        <w:br/>
        <w:t>① Directors may review the following and request clarification or supplementation if the proposal is unclear or lacks supporting evidence:</w:t>
      </w:r>
    </w:p>
    <w:p w14:paraId="6206D92F" w14:textId="42C2ECB4" w:rsidR="00F8082C" w:rsidRPr="00B338EA" w:rsidRDefault="00F8082C" w:rsidP="000F2877">
      <w:pPr>
        <w:pStyle w:val="a6"/>
        <w:numPr>
          <w:ilvl w:val="0"/>
          <w:numId w:val="4"/>
        </w:numPr>
        <w:rPr>
          <w:rFonts w:asciiTheme="majorHAnsi" w:eastAsiaTheme="majorHAnsi" w:hAnsiTheme="majorHAnsi"/>
          <w:szCs w:val="22"/>
        </w:rPr>
      </w:pPr>
      <w:r w:rsidRPr="00B338EA">
        <w:rPr>
          <w:rFonts w:asciiTheme="majorHAnsi" w:eastAsiaTheme="majorHAnsi" w:hAnsiTheme="majorHAnsi"/>
          <w:szCs w:val="22"/>
        </w:rPr>
        <w:t>Verification of shareholding ratio compliance and supporting documentation.</w:t>
      </w:r>
    </w:p>
    <w:p w14:paraId="6DB30B85" w14:textId="77777777" w:rsidR="000F2877" w:rsidRPr="00B338EA" w:rsidRDefault="00F8082C" w:rsidP="000F2877">
      <w:pPr>
        <w:pStyle w:val="a6"/>
        <w:numPr>
          <w:ilvl w:val="0"/>
          <w:numId w:val="4"/>
        </w:numPr>
        <w:rPr>
          <w:rFonts w:asciiTheme="majorHAnsi" w:eastAsiaTheme="majorHAnsi" w:hAnsiTheme="majorHAnsi"/>
          <w:szCs w:val="22"/>
        </w:rPr>
      </w:pPr>
      <w:r w:rsidRPr="00B338EA">
        <w:rPr>
          <w:rFonts w:asciiTheme="majorHAnsi" w:eastAsiaTheme="majorHAnsi" w:hAnsiTheme="majorHAnsi"/>
          <w:szCs w:val="22"/>
        </w:rPr>
        <w:t>Adherence to the statutory submission deadline.</w:t>
      </w:r>
    </w:p>
    <w:p w14:paraId="296DDD14" w14:textId="77777777" w:rsidR="000F2877" w:rsidRPr="00B338EA" w:rsidRDefault="000F2877" w:rsidP="000F2877">
      <w:pPr>
        <w:pStyle w:val="a6"/>
        <w:ind w:left="1160"/>
        <w:rPr>
          <w:rFonts w:asciiTheme="majorHAnsi" w:eastAsiaTheme="majorHAnsi" w:hAnsiTheme="majorHAnsi" w:hint="eastAsia"/>
          <w:szCs w:val="22"/>
        </w:rPr>
      </w:pPr>
    </w:p>
    <w:p w14:paraId="3BC6BA83" w14:textId="119DCC4B" w:rsidR="00F8082C" w:rsidRPr="00B338EA" w:rsidRDefault="00F8082C" w:rsidP="000F2877">
      <w:pPr>
        <w:pStyle w:val="a6"/>
        <w:ind w:left="567"/>
        <w:rPr>
          <w:rFonts w:asciiTheme="majorHAnsi" w:eastAsiaTheme="majorHAnsi" w:hAnsiTheme="majorHAnsi"/>
          <w:szCs w:val="22"/>
        </w:rPr>
      </w:pPr>
      <w:r w:rsidRPr="00B338EA">
        <w:rPr>
          <w:rFonts w:asciiTheme="majorHAnsi" w:eastAsiaTheme="majorHAnsi" w:hAnsiTheme="majorHAnsi"/>
          <w:szCs w:val="22"/>
        </w:rPr>
        <w:t>② Upon confirming compliance with Article 2, the director must immediately report the proposal to the Board of Directors.</w:t>
      </w:r>
      <w:r w:rsidRPr="00B338EA">
        <w:rPr>
          <w:rFonts w:asciiTheme="majorHAnsi" w:eastAsiaTheme="majorHAnsi" w:hAnsiTheme="majorHAnsi"/>
          <w:szCs w:val="22"/>
        </w:rPr>
        <w:br/>
        <w:t>③ The Board must include the proposal in the meeting agenda unless rejection grounds under Article 4 apply.</w:t>
      </w:r>
    </w:p>
    <w:p w14:paraId="46AF1950" w14:textId="77777777" w:rsidR="00F8082C" w:rsidRPr="00F8082C" w:rsidRDefault="00F8082C" w:rsidP="000F2877">
      <w:pPr>
        <w:ind w:left="720"/>
        <w:rPr>
          <w:rFonts w:asciiTheme="majorHAnsi" w:eastAsiaTheme="majorHAnsi" w:hAnsiTheme="majorHAnsi" w:hint="eastAsia"/>
          <w:szCs w:val="22"/>
        </w:rPr>
      </w:pPr>
    </w:p>
    <w:p w14:paraId="51EE16A5" w14:textId="77777777" w:rsidR="00F8082C" w:rsidRPr="00F8082C" w:rsidRDefault="00F8082C" w:rsidP="00F8082C">
      <w:pPr>
        <w:rPr>
          <w:rFonts w:asciiTheme="majorHAnsi" w:eastAsiaTheme="majorHAnsi" w:hAnsiTheme="majorHAnsi"/>
          <w:szCs w:val="22"/>
        </w:rPr>
      </w:pPr>
      <w:r w:rsidRPr="00F8082C">
        <w:rPr>
          <w:rFonts w:asciiTheme="majorHAnsi" w:eastAsiaTheme="majorHAnsi" w:hAnsiTheme="majorHAnsi"/>
          <w:b/>
          <w:bCs/>
          <w:szCs w:val="22"/>
        </w:rPr>
        <w:lastRenderedPageBreak/>
        <w:t>Article 4 (Grounds for Rejection)</w:t>
      </w:r>
      <w:r w:rsidRPr="00F8082C">
        <w:rPr>
          <w:rFonts w:asciiTheme="majorHAnsi" w:eastAsiaTheme="majorHAnsi" w:hAnsiTheme="majorHAnsi"/>
          <w:szCs w:val="22"/>
        </w:rPr>
        <w:br/>
        <w:t>The Board may reject proposals for the following reasons:</w:t>
      </w:r>
    </w:p>
    <w:p w14:paraId="35E796BA" w14:textId="77777777" w:rsidR="00F8082C" w:rsidRPr="00F8082C" w:rsidRDefault="00F8082C" w:rsidP="00F8082C">
      <w:pPr>
        <w:numPr>
          <w:ilvl w:val="0"/>
          <w:numId w:val="2"/>
        </w:numPr>
        <w:rPr>
          <w:rFonts w:asciiTheme="majorHAnsi" w:eastAsiaTheme="majorHAnsi" w:hAnsiTheme="majorHAnsi"/>
          <w:szCs w:val="22"/>
        </w:rPr>
      </w:pPr>
      <w:r w:rsidRPr="00F8082C">
        <w:rPr>
          <w:rFonts w:asciiTheme="majorHAnsi" w:eastAsiaTheme="majorHAnsi" w:hAnsiTheme="majorHAnsi"/>
          <w:szCs w:val="22"/>
        </w:rPr>
        <w:t>Violation of laws or the Articles of Incorporation.</w:t>
      </w:r>
    </w:p>
    <w:p w14:paraId="108E2ECC" w14:textId="77777777" w:rsidR="00F8082C" w:rsidRPr="00F8082C" w:rsidRDefault="00F8082C" w:rsidP="00F8082C">
      <w:pPr>
        <w:numPr>
          <w:ilvl w:val="0"/>
          <w:numId w:val="2"/>
        </w:numPr>
        <w:rPr>
          <w:rFonts w:asciiTheme="majorHAnsi" w:eastAsiaTheme="majorHAnsi" w:hAnsiTheme="majorHAnsi"/>
          <w:szCs w:val="22"/>
        </w:rPr>
      </w:pPr>
      <w:r w:rsidRPr="00F8082C">
        <w:rPr>
          <w:rFonts w:asciiTheme="majorHAnsi" w:eastAsiaTheme="majorHAnsi" w:hAnsiTheme="majorHAnsi"/>
          <w:szCs w:val="22"/>
        </w:rPr>
        <w:t>Re-submission of a proposal within three years of its prior rejection with less than 10% approval.</w:t>
      </w:r>
    </w:p>
    <w:p w14:paraId="39A5F7B1" w14:textId="77777777" w:rsidR="00F8082C" w:rsidRPr="00F8082C" w:rsidRDefault="00F8082C" w:rsidP="00F8082C">
      <w:pPr>
        <w:numPr>
          <w:ilvl w:val="0"/>
          <w:numId w:val="2"/>
        </w:numPr>
        <w:rPr>
          <w:rFonts w:asciiTheme="majorHAnsi" w:eastAsiaTheme="majorHAnsi" w:hAnsiTheme="majorHAnsi"/>
          <w:szCs w:val="22"/>
        </w:rPr>
      </w:pPr>
      <w:r w:rsidRPr="00F8082C">
        <w:rPr>
          <w:rFonts w:asciiTheme="majorHAnsi" w:eastAsiaTheme="majorHAnsi" w:hAnsiTheme="majorHAnsi"/>
          <w:szCs w:val="22"/>
        </w:rPr>
        <w:t>Matters related to personal grievances or interests of individual shareholders.</w:t>
      </w:r>
    </w:p>
    <w:p w14:paraId="2F1C01E4" w14:textId="77777777" w:rsidR="00F8082C" w:rsidRPr="00F8082C" w:rsidRDefault="00F8082C" w:rsidP="00F8082C">
      <w:pPr>
        <w:numPr>
          <w:ilvl w:val="0"/>
          <w:numId w:val="2"/>
        </w:numPr>
        <w:rPr>
          <w:rFonts w:asciiTheme="majorHAnsi" w:eastAsiaTheme="majorHAnsi" w:hAnsiTheme="majorHAnsi"/>
          <w:szCs w:val="22"/>
        </w:rPr>
      </w:pPr>
      <w:r w:rsidRPr="00F8082C">
        <w:rPr>
          <w:rFonts w:asciiTheme="majorHAnsi" w:eastAsiaTheme="majorHAnsi" w:hAnsiTheme="majorHAnsi"/>
          <w:szCs w:val="22"/>
        </w:rPr>
        <w:t>Proposals concerning minority shareholder rights requiring shareholding thresholds (e.g., inspection rights, special meeting requests).</w:t>
      </w:r>
    </w:p>
    <w:p w14:paraId="60815155" w14:textId="77777777" w:rsidR="00F8082C" w:rsidRPr="00F8082C" w:rsidRDefault="00F8082C" w:rsidP="00F8082C">
      <w:pPr>
        <w:numPr>
          <w:ilvl w:val="0"/>
          <w:numId w:val="2"/>
        </w:numPr>
        <w:rPr>
          <w:rFonts w:asciiTheme="majorHAnsi" w:eastAsiaTheme="majorHAnsi" w:hAnsiTheme="majorHAnsi"/>
          <w:szCs w:val="22"/>
        </w:rPr>
      </w:pPr>
      <w:r w:rsidRPr="00F8082C">
        <w:rPr>
          <w:rFonts w:asciiTheme="majorHAnsi" w:eastAsiaTheme="majorHAnsi" w:hAnsiTheme="majorHAnsi"/>
          <w:szCs w:val="22"/>
        </w:rPr>
        <w:t>Proposals to dismiss incumbent directors/officers of listed companies.</w:t>
      </w:r>
    </w:p>
    <w:p w14:paraId="5C1A0AFC" w14:textId="77777777" w:rsidR="00F8082C" w:rsidRPr="00B338EA" w:rsidRDefault="00F8082C" w:rsidP="00F8082C">
      <w:pPr>
        <w:numPr>
          <w:ilvl w:val="0"/>
          <w:numId w:val="2"/>
        </w:numPr>
        <w:rPr>
          <w:rFonts w:asciiTheme="majorHAnsi" w:eastAsiaTheme="majorHAnsi" w:hAnsiTheme="majorHAnsi"/>
          <w:szCs w:val="22"/>
        </w:rPr>
      </w:pPr>
      <w:r w:rsidRPr="00F8082C">
        <w:rPr>
          <w:rFonts w:asciiTheme="majorHAnsi" w:eastAsiaTheme="majorHAnsi" w:hAnsiTheme="majorHAnsi"/>
          <w:szCs w:val="22"/>
        </w:rPr>
        <w:t>Proposals deemed unrealizable, factually false, or defamatory.</w:t>
      </w:r>
    </w:p>
    <w:p w14:paraId="0CCF46C7" w14:textId="77777777" w:rsidR="00F8082C" w:rsidRPr="00F8082C" w:rsidRDefault="00F8082C" w:rsidP="000F2877">
      <w:pPr>
        <w:ind w:left="720"/>
        <w:rPr>
          <w:rFonts w:asciiTheme="majorHAnsi" w:eastAsiaTheme="majorHAnsi" w:hAnsiTheme="majorHAnsi" w:hint="eastAsia"/>
          <w:szCs w:val="22"/>
        </w:rPr>
      </w:pPr>
    </w:p>
    <w:p w14:paraId="6E244EF8" w14:textId="77777777" w:rsidR="00F8082C" w:rsidRPr="00B338EA" w:rsidRDefault="00F8082C" w:rsidP="00F8082C">
      <w:pPr>
        <w:rPr>
          <w:rFonts w:asciiTheme="majorHAnsi" w:eastAsiaTheme="majorHAnsi" w:hAnsiTheme="majorHAnsi"/>
          <w:szCs w:val="22"/>
        </w:rPr>
      </w:pPr>
      <w:r w:rsidRPr="00F8082C">
        <w:rPr>
          <w:rFonts w:asciiTheme="majorHAnsi" w:eastAsiaTheme="majorHAnsi" w:hAnsiTheme="majorHAnsi"/>
          <w:b/>
          <w:bCs/>
          <w:szCs w:val="22"/>
        </w:rPr>
        <w:t>Article 5 (General Meeting of Shareholders)</w:t>
      </w:r>
      <w:r w:rsidRPr="00F8082C">
        <w:rPr>
          <w:rFonts w:asciiTheme="majorHAnsi" w:eastAsiaTheme="majorHAnsi" w:hAnsiTheme="majorHAnsi"/>
          <w:szCs w:val="22"/>
        </w:rPr>
        <w:br/>
        <w:t>The chairperson must grant the proposing shareholder an opportunity to explain the proposal at the meeting if requested.</w:t>
      </w:r>
    </w:p>
    <w:p w14:paraId="1936B932" w14:textId="77777777" w:rsidR="00F8082C" w:rsidRPr="00F8082C" w:rsidRDefault="00F8082C" w:rsidP="00F8082C">
      <w:pPr>
        <w:rPr>
          <w:rFonts w:asciiTheme="majorHAnsi" w:eastAsiaTheme="majorHAnsi" w:hAnsiTheme="majorHAnsi"/>
          <w:szCs w:val="22"/>
        </w:rPr>
      </w:pPr>
    </w:p>
    <w:p w14:paraId="01F66FBE" w14:textId="77777777" w:rsidR="00F8082C" w:rsidRPr="00F8082C" w:rsidRDefault="00F8082C" w:rsidP="00F8082C">
      <w:pPr>
        <w:rPr>
          <w:rFonts w:asciiTheme="majorHAnsi" w:eastAsiaTheme="majorHAnsi" w:hAnsiTheme="majorHAnsi"/>
          <w:szCs w:val="22"/>
        </w:rPr>
      </w:pPr>
      <w:r w:rsidRPr="00F8082C">
        <w:rPr>
          <w:rFonts w:asciiTheme="majorHAnsi" w:eastAsiaTheme="majorHAnsi" w:hAnsiTheme="majorHAnsi"/>
          <w:b/>
          <w:bCs/>
          <w:szCs w:val="22"/>
        </w:rPr>
        <w:t>Article 6 (Responsible Department)</w:t>
      </w:r>
    </w:p>
    <w:p w14:paraId="66297203" w14:textId="77777777" w:rsidR="00F8082C" w:rsidRPr="00F8082C" w:rsidRDefault="00F8082C" w:rsidP="00F8082C">
      <w:pPr>
        <w:numPr>
          <w:ilvl w:val="0"/>
          <w:numId w:val="3"/>
        </w:numPr>
        <w:rPr>
          <w:rFonts w:asciiTheme="majorHAnsi" w:eastAsiaTheme="majorHAnsi" w:hAnsiTheme="majorHAnsi"/>
          <w:szCs w:val="22"/>
        </w:rPr>
      </w:pPr>
      <w:r w:rsidRPr="00F8082C">
        <w:rPr>
          <w:rFonts w:asciiTheme="majorHAnsi" w:eastAsiaTheme="majorHAnsi" w:hAnsiTheme="majorHAnsi"/>
          <w:szCs w:val="22"/>
        </w:rPr>
        <w:t>Department: IR Team</w:t>
      </w:r>
    </w:p>
    <w:p w14:paraId="6BD621DB" w14:textId="77777777" w:rsidR="000F2877" w:rsidRPr="00B338EA" w:rsidRDefault="00F8082C" w:rsidP="000F2877">
      <w:pPr>
        <w:numPr>
          <w:ilvl w:val="0"/>
          <w:numId w:val="3"/>
        </w:numPr>
        <w:rPr>
          <w:rFonts w:asciiTheme="majorHAnsi" w:eastAsiaTheme="majorHAnsi" w:hAnsiTheme="majorHAnsi"/>
          <w:szCs w:val="22"/>
        </w:rPr>
      </w:pPr>
      <w:r w:rsidRPr="00F8082C">
        <w:rPr>
          <w:rFonts w:asciiTheme="majorHAnsi" w:eastAsiaTheme="majorHAnsi" w:hAnsiTheme="majorHAnsi"/>
          <w:szCs w:val="22"/>
        </w:rPr>
        <w:t xml:space="preserve">Officer: Officer in charge of </w:t>
      </w:r>
      <w:r w:rsidR="000F2877" w:rsidRPr="00B338EA">
        <w:rPr>
          <w:rFonts w:asciiTheme="majorHAnsi" w:eastAsiaTheme="majorHAnsi" w:hAnsiTheme="majorHAnsi"/>
          <w:szCs w:val="22"/>
          <w:lang w:val="en"/>
        </w:rPr>
        <w:t>general shareholders' meeting</w:t>
      </w:r>
    </w:p>
    <w:p w14:paraId="2EE51E5B" w14:textId="10DDCFAA" w:rsidR="00F8082C" w:rsidRPr="00F8082C" w:rsidRDefault="00F8082C" w:rsidP="000F2877">
      <w:pPr>
        <w:ind w:left="720"/>
        <w:rPr>
          <w:rFonts w:asciiTheme="majorHAnsi" w:eastAsiaTheme="majorHAnsi" w:hAnsiTheme="majorHAnsi" w:hint="eastAsia"/>
          <w:szCs w:val="22"/>
        </w:rPr>
      </w:pPr>
    </w:p>
    <w:p w14:paraId="4688CB0F" w14:textId="77777777" w:rsidR="00F8082C" w:rsidRPr="00F8082C" w:rsidRDefault="00F8082C" w:rsidP="00F8082C">
      <w:pPr>
        <w:rPr>
          <w:rFonts w:asciiTheme="majorHAnsi" w:eastAsiaTheme="majorHAnsi" w:hAnsiTheme="majorHAnsi"/>
          <w:szCs w:val="22"/>
        </w:rPr>
      </w:pPr>
      <w:r w:rsidRPr="00F8082C">
        <w:rPr>
          <w:rFonts w:asciiTheme="majorHAnsi" w:eastAsiaTheme="majorHAnsi" w:hAnsiTheme="majorHAnsi"/>
          <w:b/>
          <w:bCs/>
          <w:szCs w:val="22"/>
        </w:rPr>
        <w:t>Article 7 (Miscellaneous)</w:t>
      </w:r>
      <w:r w:rsidRPr="00F8082C">
        <w:rPr>
          <w:rFonts w:asciiTheme="majorHAnsi" w:eastAsiaTheme="majorHAnsi" w:hAnsiTheme="majorHAnsi"/>
          <w:szCs w:val="22"/>
        </w:rPr>
        <w:br/>
        <w:t>Matters not addressed herein shall follow the Commercial Act, related laws, and resolutions of the Board or general meeting.</w:t>
      </w:r>
    </w:p>
    <w:p w14:paraId="7A8E7070" w14:textId="77777777" w:rsidR="00F8082C" w:rsidRPr="00F8082C" w:rsidRDefault="00F8082C" w:rsidP="00F8082C">
      <w:pPr>
        <w:rPr>
          <w:rFonts w:asciiTheme="majorHAnsi" w:eastAsiaTheme="majorHAnsi" w:hAnsiTheme="majorHAnsi" w:hint="eastAsia"/>
          <w:szCs w:val="22"/>
        </w:rPr>
      </w:pPr>
    </w:p>
    <w:sectPr w:rsidR="00F8082C" w:rsidRPr="00F8082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60089"/>
    <w:multiLevelType w:val="multilevel"/>
    <w:tmpl w:val="72E0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21638"/>
    <w:multiLevelType w:val="multilevel"/>
    <w:tmpl w:val="133C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A5745"/>
    <w:multiLevelType w:val="hybridMultilevel"/>
    <w:tmpl w:val="CCF2E342"/>
    <w:lvl w:ilvl="0" w:tplc="5BE00A7E">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 w15:restartNumberingAfterBreak="0">
    <w:nsid w:val="7C3C4FE4"/>
    <w:multiLevelType w:val="multilevel"/>
    <w:tmpl w:val="21AAD684"/>
    <w:lvl w:ilvl="0">
      <w:start w:val="1"/>
      <w:numFmt w:val="decimal"/>
      <w:lvlText w:val="%1."/>
      <w:lvlJc w:val="left"/>
      <w:pPr>
        <w:tabs>
          <w:tab w:val="num" w:pos="860"/>
        </w:tabs>
        <w:ind w:left="860" w:hanging="360"/>
      </w:pPr>
    </w:lvl>
    <w:lvl w:ilvl="1" w:tentative="1">
      <w:start w:val="1"/>
      <w:numFmt w:val="decimal"/>
      <w:lvlText w:val="%2."/>
      <w:lvlJc w:val="left"/>
      <w:pPr>
        <w:tabs>
          <w:tab w:val="num" w:pos="1580"/>
        </w:tabs>
        <w:ind w:left="1580" w:hanging="360"/>
      </w:pPr>
    </w:lvl>
    <w:lvl w:ilvl="2" w:tentative="1">
      <w:start w:val="1"/>
      <w:numFmt w:val="decimal"/>
      <w:lvlText w:val="%3."/>
      <w:lvlJc w:val="left"/>
      <w:pPr>
        <w:tabs>
          <w:tab w:val="num" w:pos="2300"/>
        </w:tabs>
        <w:ind w:left="2300" w:hanging="360"/>
      </w:pPr>
    </w:lvl>
    <w:lvl w:ilvl="3" w:tentative="1">
      <w:start w:val="1"/>
      <w:numFmt w:val="decimal"/>
      <w:lvlText w:val="%4."/>
      <w:lvlJc w:val="left"/>
      <w:pPr>
        <w:tabs>
          <w:tab w:val="num" w:pos="3020"/>
        </w:tabs>
        <w:ind w:left="3020" w:hanging="360"/>
      </w:pPr>
    </w:lvl>
    <w:lvl w:ilvl="4" w:tentative="1">
      <w:start w:val="1"/>
      <w:numFmt w:val="decimal"/>
      <w:lvlText w:val="%5."/>
      <w:lvlJc w:val="left"/>
      <w:pPr>
        <w:tabs>
          <w:tab w:val="num" w:pos="3740"/>
        </w:tabs>
        <w:ind w:left="3740" w:hanging="360"/>
      </w:pPr>
    </w:lvl>
    <w:lvl w:ilvl="5" w:tentative="1">
      <w:start w:val="1"/>
      <w:numFmt w:val="decimal"/>
      <w:lvlText w:val="%6."/>
      <w:lvlJc w:val="left"/>
      <w:pPr>
        <w:tabs>
          <w:tab w:val="num" w:pos="4460"/>
        </w:tabs>
        <w:ind w:left="4460" w:hanging="360"/>
      </w:pPr>
    </w:lvl>
    <w:lvl w:ilvl="6" w:tentative="1">
      <w:start w:val="1"/>
      <w:numFmt w:val="decimal"/>
      <w:lvlText w:val="%7."/>
      <w:lvlJc w:val="left"/>
      <w:pPr>
        <w:tabs>
          <w:tab w:val="num" w:pos="5180"/>
        </w:tabs>
        <w:ind w:left="5180" w:hanging="360"/>
      </w:pPr>
    </w:lvl>
    <w:lvl w:ilvl="7" w:tentative="1">
      <w:start w:val="1"/>
      <w:numFmt w:val="decimal"/>
      <w:lvlText w:val="%8."/>
      <w:lvlJc w:val="left"/>
      <w:pPr>
        <w:tabs>
          <w:tab w:val="num" w:pos="5900"/>
        </w:tabs>
        <w:ind w:left="5900" w:hanging="360"/>
      </w:pPr>
    </w:lvl>
    <w:lvl w:ilvl="8" w:tentative="1">
      <w:start w:val="1"/>
      <w:numFmt w:val="decimal"/>
      <w:lvlText w:val="%9."/>
      <w:lvlJc w:val="left"/>
      <w:pPr>
        <w:tabs>
          <w:tab w:val="num" w:pos="6620"/>
        </w:tabs>
        <w:ind w:left="6620" w:hanging="360"/>
      </w:pPr>
    </w:lvl>
  </w:abstractNum>
  <w:num w:numId="1" w16cid:durableId="152377993">
    <w:abstractNumId w:val="3"/>
  </w:num>
  <w:num w:numId="2" w16cid:durableId="2011520466">
    <w:abstractNumId w:val="1"/>
  </w:num>
  <w:num w:numId="3" w16cid:durableId="1904482333">
    <w:abstractNumId w:val="0"/>
  </w:num>
  <w:num w:numId="4" w16cid:durableId="1514957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2C"/>
    <w:rsid w:val="000F2877"/>
    <w:rsid w:val="008A37CC"/>
    <w:rsid w:val="00AD4534"/>
    <w:rsid w:val="00B338EA"/>
    <w:rsid w:val="00E44AB0"/>
    <w:rsid w:val="00F8082C"/>
    <w:rsid w:val="00FC43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DF5A"/>
  <w15:chartTrackingRefBased/>
  <w15:docId w15:val="{9C2A02FE-DE87-4382-BF07-923A167C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808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F808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F808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F808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F808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F808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F808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F808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F808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8082C"/>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F8082C"/>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F8082C"/>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F8082C"/>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F8082C"/>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F8082C"/>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F8082C"/>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F8082C"/>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F8082C"/>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F8082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8082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0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F8082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8082C"/>
    <w:pPr>
      <w:spacing w:before="160"/>
      <w:jc w:val="center"/>
    </w:pPr>
    <w:rPr>
      <w:i/>
      <w:iCs/>
      <w:color w:val="404040" w:themeColor="text1" w:themeTint="BF"/>
    </w:rPr>
  </w:style>
  <w:style w:type="character" w:customStyle="1" w:styleId="Char1">
    <w:name w:val="인용 Char"/>
    <w:basedOn w:val="a0"/>
    <w:link w:val="a5"/>
    <w:uiPriority w:val="29"/>
    <w:rsid w:val="00F8082C"/>
    <w:rPr>
      <w:i/>
      <w:iCs/>
      <w:color w:val="404040" w:themeColor="text1" w:themeTint="BF"/>
    </w:rPr>
  </w:style>
  <w:style w:type="paragraph" w:styleId="a6">
    <w:name w:val="List Paragraph"/>
    <w:basedOn w:val="a"/>
    <w:uiPriority w:val="34"/>
    <w:qFormat/>
    <w:rsid w:val="00F8082C"/>
    <w:pPr>
      <w:ind w:left="720"/>
      <w:contextualSpacing/>
    </w:pPr>
  </w:style>
  <w:style w:type="character" w:styleId="a7">
    <w:name w:val="Intense Emphasis"/>
    <w:basedOn w:val="a0"/>
    <w:uiPriority w:val="21"/>
    <w:qFormat/>
    <w:rsid w:val="00F8082C"/>
    <w:rPr>
      <w:i/>
      <w:iCs/>
      <w:color w:val="0F4761" w:themeColor="accent1" w:themeShade="BF"/>
    </w:rPr>
  </w:style>
  <w:style w:type="paragraph" w:styleId="a8">
    <w:name w:val="Intense Quote"/>
    <w:basedOn w:val="a"/>
    <w:next w:val="a"/>
    <w:link w:val="Char2"/>
    <w:uiPriority w:val="30"/>
    <w:qFormat/>
    <w:rsid w:val="00F80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8082C"/>
    <w:rPr>
      <w:i/>
      <w:iCs/>
      <w:color w:val="0F4761" w:themeColor="accent1" w:themeShade="BF"/>
    </w:rPr>
  </w:style>
  <w:style w:type="character" w:styleId="a9">
    <w:name w:val="Intense Reference"/>
    <w:basedOn w:val="a0"/>
    <w:uiPriority w:val="32"/>
    <w:qFormat/>
    <w:rsid w:val="00F8082C"/>
    <w:rPr>
      <w:b/>
      <w:bCs/>
      <w:smallCaps/>
      <w:color w:val="0F4761" w:themeColor="accent1" w:themeShade="BF"/>
      <w:spacing w:val="5"/>
    </w:rPr>
  </w:style>
  <w:style w:type="paragraph" w:styleId="HTML">
    <w:name w:val="HTML Preformatted"/>
    <w:basedOn w:val="a"/>
    <w:link w:val="HTMLChar"/>
    <w:uiPriority w:val="99"/>
    <w:semiHidden/>
    <w:unhideWhenUsed/>
    <w:rsid w:val="000F2877"/>
    <w:rPr>
      <w:rFonts w:ascii="Courier New" w:hAnsi="Courier New" w:cs="Courier New"/>
      <w:sz w:val="20"/>
      <w:szCs w:val="20"/>
    </w:rPr>
  </w:style>
  <w:style w:type="character" w:customStyle="1" w:styleId="HTMLChar">
    <w:name w:val="미리 서식이 지정된 HTML Char"/>
    <w:basedOn w:val="a0"/>
    <w:link w:val="HTML"/>
    <w:uiPriority w:val="99"/>
    <w:semiHidden/>
    <w:rsid w:val="000F287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56730">
      <w:bodyDiv w:val="1"/>
      <w:marLeft w:val="0"/>
      <w:marRight w:val="0"/>
      <w:marTop w:val="0"/>
      <w:marBottom w:val="0"/>
      <w:divBdr>
        <w:top w:val="none" w:sz="0" w:space="0" w:color="auto"/>
        <w:left w:val="none" w:sz="0" w:space="0" w:color="auto"/>
        <w:bottom w:val="none" w:sz="0" w:space="0" w:color="auto"/>
        <w:right w:val="none" w:sz="0" w:space="0" w:color="auto"/>
      </w:divBdr>
    </w:div>
    <w:div w:id="1614751220">
      <w:bodyDiv w:val="1"/>
      <w:marLeft w:val="0"/>
      <w:marRight w:val="0"/>
      <w:marTop w:val="0"/>
      <w:marBottom w:val="0"/>
      <w:divBdr>
        <w:top w:val="none" w:sz="0" w:space="0" w:color="auto"/>
        <w:left w:val="none" w:sz="0" w:space="0" w:color="auto"/>
        <w:bottom w:val="none" w:sz="0" w:space="0" w:color="auto"/>
        <w:right w:val="none" w:sz="0" w:space="0" w:color="auto"/>
      </w:divBdr>
    </w:div>
    <w:div w:id="1686516794">
      <w:bodyDiv w:val="1"/>
      <w:marLeft w:val="0"/>
      <w:marRight w:val="0"/>
      <w:marTop w:val="0"/>
      <w:marBottom w:val="0"/>
      <w:divBdr>
        <w:top w:val="none" w:sz="0" w:space="0" w:color="auto"/>
        <w:left w:val="none" w:sz="0" w:space="0" w:color="auto"/>
        <w:bottom w:val="none" w:sz="0" w:space="0" w:color="auto"/>
        <w:right w:val="none" w:sz="0" w:space="0" w:color="auto"/>
      </w:divBdr>
    </w:div>
    <w:div w:id="18617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Characters>2186</Characters>
  <Pages>2</Pages>
  <DocSecurity>0</DocSecurity>
  <Words>383</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박찬민(Park, Chan-min) /IR팀 (cmpark@gsenc.com)</dc:creator>
  <dcterms:modified xsi:type="dcterms:W3CDTF">2025-05-21T06:45:00Z</dcterms:modified>
  <dc:description/>
  <cp:keywords/>
  <dc:subject/>
  <dc:title/>
  <cp:lastModifiedBy>박찬민(Park, Chan-min) /IR팀 (cmpark@gsenc.com)</cp:lastModifiedBy>
  <dcterms:created xsi:type="dcterms:W3CDTF">2025-05-21T06:29:00Z</dcterms:created>
  <cp:revision>3</cp:revision>
</cp:coreProperties>
</file>